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81C5E" w14:textId="77777777" w:rsidR="00752237" w:rsidRPr="003F7259" w:rsidRDefault="00752237" w:rsidP="00752237">
      <w:pPr>
        <w:pStyle w:val="NoSpacing"/>
        <w:spacing w:line="360" w:lineRule="auto"/>
        <w:contextualSpacing/>
        <w:jc w:val="center"/>
        <w:rPr>
          <w:rFonts w:ascii="Times New Roman" w:hAnsi="Times New Roman"/>
          <w:b/>
          <w:bCs/>
          <w:sz w:val="28"/>
          <w:szCs w:val="28"/>
        </w:rPr>
      </w:pPr>
      <w:r w:rsidRPr="003F7259">
        <w:rPr>
          <w:rFonts w:ascii="Times New Roman" w:hAnsi="Times New Roman"/>
          <w:b/>
          <w:bCs/>
          <w:sz w:val="28"/>
          <w:szCs w:val="28"/>
        </w:rPr>
        <w:t>INTRODUCTION</w:t>
      </w:r>
    </w:p>
    <w:p w14:paraId="0C85225C" w14:textId="77777777" w:rsidR="00752237" w:rsidRPr="003F7259" w:rsidRDefault="00752237" w:rsidP="00752237">
      <w:pPr>
        <w:pStyle w:val="NoSpacing"/>
        <w:spacing w:line="360" w:lineRule="auto"/>
        <w:contextualSpacing/>
        <w:jc w:val="center"/>
        <w:rPr>
          <w:rFonts w:ascii="Times New Roman" w:hAnsi="Times New Roman"/>
          <w:b/>
          <w:bCs/>
        </w:rPr>
      </w:pPr>
    </w:p>
    <w:p w14:paraId="6A83DF96" w14:textId="77777777" w:rsidR="00752237" w:rsidRDefault="00752237" w:rsidP="00752237">
      <w:pPr>
        <w:pStyle w:val="NoSpacing"/>
        <w:spacing w:line="360" w:lineRule="auto"/>
        <w:contextualSpacing/>
        <w:rPr>
          <w:rFonts w:ascii="Times New Roman" w:hAnsi="Times New Roman"/>
        </w:rPr>
      </w:pPr>
      <w:r w:rsidRPr="003F7259">
        <w:rPr>
          <w:rFonts w:ascii="Times New Roman" w:hAnsi="Times New Roman"/>
        </w:rPr>
        <w:tab/>
        <w:t xml:space="preserve">I </w:t>
      </w:r>
      <w:r>
        <w:rPr>
          <w:rFonts w:ascii="Times New Roman" w:hAnsi="Times New Roman"/>
        </w:rPr>
        <w:t>first</w:t>
      </w:r>
      <w:r w:rsidRPr="003F7259">
        <w:rPr>
          <w:rFonts w:ascii="Times New Roman" w:hAnsi="Times New Roman"/>
        </w:rPr>
        <w:t xml:space="preserve"> fell in love with Sylvia Plath’s work—and poetry </w:t>
      </w:r>
      <w:r>
        <w:rPr>
          <w:rFonts w:ascii="Times New Roman" w:hAnsi="Times New Roman"/>
        </w:rPr>
        <w:t>in general</w:t>
      </w:r>
      <w:r w:rsidRPr="003F7259">
        <w:rPr>
          <w:rFonts w:ascii="Times New Roman" w:hAnsi="Times New Roman"/>
        </w:rPr>
        <w:t xml:space="preserve">—at the same age as </w:t>
      </w:r>
      <w:r>
        <w:rPr>
          <w:rFonts w:ascii="Times New Roman" w:hAnsi="Times New Roman"/>
        </w:rPr>
        <w:t>everyone else</w:t>
      </w:r>
      <w:r w:rsidRPr="003F7259">
        <w:rPr>
          <w:rFonts w:ascii="Times New Roman" w:hAnsi="Times New Roman"/>
        </w:rPr>
        <w:t>: during my first year of college. I was full of post-adolescent angst, on a clichéd mission to (as they say) find myself</w:t>
      </w:r>
      <w:r>
        <w:rPr>
          <w:rFonts w:ascii="Times New Roman" w:hAnsi="Times New Roman"/>
        </w:rPr>
        <w:t>,</w:t>
      </w:r>
      <w:r w:rsidRPr="003F7259">
        <w:rPr>
          <w:rFonts w:ascii="Times New Roman" w:hAnsi="Times New Roman"/>
        </w:rPr>
        <w:t xml:space="preserve"> when introduced to </w:t>
      </w:r>
      <w:r w:rsidRPr="003F7259">
        <w:rPr>
          <w:rFonts w:ascii="Times New Roman" w:hAnsi="Times New Roman"/>
          <w:i/>
          <w:iCs/>
        </w:rPr>
        <w:t xml:space="preserve">The Bell Jar </w:t>
      </w:r>
      <w:r w:rsidRPr="003F7259">
        <w:rPr>
          <w:rFonts w:ascii="Times New Roman" w:hAnsi="Times New Roman"/>
        </w:rPr>
        <w:t>and the trials of</w:t>
      </w:r>
      <w:r>
        <w:rPr>
          <w:rFonts w:ascii="Times New Roman" w:hAnsi="Times New Roman"/>
        </w:rPr>
        <w:t xml:space="preserve"> Sylvia’s thinly-veiled protagonist </w:t>
      </w:r>
      <w:r w:rsidRPr="003F7259">
        <w:rPr>
          <w:rFonts w:ascii="Times New Roman" w:hAnsi="Times New Roman"/>
        </w:rPr>
        <w:t xml:space="preserve">Esther Greenwood. It was the first time I ever felt such a connection. There was another person who had the same thoughts and fears as I did. </w:t>
      </w:r>
      <w:r>
        <w:rPr>
          <w:rFonts w:ascii="Times New Roman" w:hAnsi="Times New Roman"/>
        </w:rPr>
        <w:t xml:space="preserve">But I was not from New England. I was from a small town in southern Oregon. I did not arrive at a prestigious university with a parade of scholarships and accolades. I stumbled into a state school to escape an abusive relationship, saddled immediately with tens of thousands of dollars in student loans because I was considered “financially independent by the government due to parental abandonment” (living in a car and graduating high school through a community college’s remote study program at 16 helped with that claim). I had no idea what a scholarship was, so I was </w:t>
      </w:r>
      <w:r w:rsidRPr="00474C33">
        <w:rPr>
          <w:rFonts w:ascii="Times New Roman" w:hAnsi="Times New Roman"/>
          <w:strike/>
        </w:rPr>
        <w:t>a little</w:t>
      </w:r>
      <w:r>
        <w:rPr>
          <w:rFonts w:ascii="Times New Roman" w:hAnsi="Times New Roman"/>
        </w:rPr>
        <w:t xml:space="preserve"> a lot behind Sylvia in that regard. I didn’t spend my teenaged summers nannying for wealthy families. Instead, I was using a fake I.D. so I could get a “good job” at the mall (The Limited—yes, it was the 90s) and rent a one-bedroom apartment from landlords who looked the other way. All of this, and yet I still felt sympathy—empathy—for a white middle-class girl who became one of the most famous writers of the century. </w:t>
      </w:r>
    </w:p>
    <w:p w14:paraId="60257839"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Oh, I should mention, I’m not white. I’m Aniyunwiya, or as many people say, “Cherokee,” but I can</w:t>
      </w:r>
      <w:r>
        <w:rPr>
          <w:rFonts w:ascii="Times New Roman" w:hAnsi="Times New Roman"/>
          <w:i/>
          <w:iCs/>
        </w:rPr>
        <w:t xml:space="preserve"> </w:t>
      </w:r>
      <w:r>
        <w:rPr>
          <w:rFonts w:ascii="Times New Roman" w:hAnsi="Times New Roman"/>
        </w:rPr>
        <w:t xml:space="preserve">pass and went platinum blonde when I turned eighteen. Why settle for a “Platinum </w:t>
      </w:r>
      <w:commentRangeStart w:id="0"/>
      <w:r>
        <w:rPr>
          <w:rFonts w:ascii="Times New Roman" w:hAnsi="Times New Roman"/>
        </w:rPr>
        <w:t>Summer</w:t>
      </w:r>
      <w:commentRangeEnd w:id="0"/>
      <w:r>
        <w:rPr>
          <w:rStyle w:val="CommentReference"/>
          <w:rFonts w:cstheme="minorBidi"/>
          <w:kern w:val="2"/>
          <w14:ligatures w14:val="standardContextual"/>
        </w:rPr>
        <w:commentReference w:id="0"/>
      </w:r>
      <w:r>
        <w:rPr>
          <w:rFonts w:ascii="Times New Roman" w:hAnsi="Times New Roman"/>
        </w:rPr>
        <w:t>” when you can have a platinum decade? But, like my first and best literary love, I, too, went back to my natural color eventually, a hue deemed more “studious,” “</w:t>
      </w:r>
      <w:commentRangeStart w:id="1"/>
      <w:r>
        <w:rPr>
          <w:rFonts w:ascii="Times New Roman" w:hAnsi="Times New Roman"/>
        </w:rPr>
        <w:t>earnest</w:t>
      </w:r>
      <w:commentRangeEnd w:id="1"/>
      <w:r>
        <w:rPr>
          <w:rStyle w:val="CommentReference"/>
          <w:rFonts w:cstheme="minorBidi"/>
          <w:kern w:val="2"/>
          <w14:ligatures w14:val="standardContextual"/>
        </w:rPr>
        <w:commentReference w:id="1"/>
      </w:r>
      <w:r>
        <w:rPr>
          <w:rFonts w:ascii="Times New Roman" w:hAnsi="Times New Roman"/>
        </w:rPr>
        <w:t xml:space="preserve">”—and deserving of a Fulbright. So, maybe Sylvia—or </w:t>
      </w:r>
      <w:proofErr w:type="spellStart"/>
      <w:r>
        <w:rPr>
          <w:rFonts w:ascii="Times New Roman" w:hAnsi="Times New Roman"/>
        </w:rPr>
        <w:t>Sivvie</w:t>
      </w:r>
      <w:proofErr w:type="spellEnd"/>
      <w:r>
        <w:rPr>
          <w:rFonts w:ascii="Times New Roman" w:hAnsi="Times New Roman"/>
        </w:rPr>
        <w:t xml:space="preserve"> as some close friends called her—and I weren’t so different after all. She was like the big sister I never </w:t>
      </w:r>
      <w:proofErr w:type="gramStart"/>
      <w:r>
        <w:rPr>
          <w:rFonts w:ascii="Times New Roman" w:hAnsi="Times New Roman"/>
        </w:rPr>
        <w:t>had:</w:t>
      </w:r>
      <w:proofErr w:type="gramEnd"/>
      <w:r>
        <w:rPr>
          <w:rFonts w:ascii="Times New Roman" w:hAnsi="Times New Roman"/>
        </w:rPr>
        <w:t xml:space="preserve"> encouraging, beautiful, talented, and always right even when she wasn’t. </w:t>
      </w:r>
      <w:r w:rsidRPr="003F7259">
        <w:rPr>
          <w:rFonts w:ascii="Times New Roman" w:hAnsi="Times New Roman"/>
        </w:rPr>
        <w:t xml:space="preserve">Janet Badia </w:t>
      </w:r>
      <w:r>
        <w:rPr>
          <w:rFonts w:ascii="Times New Roman" w:hAnsi="Times New Roman"/>
        </w:rPr>
        <w:t>says that Sylvia’s writing</w:t>
      </w:r>
      <w:r w:rsidRPr="003F7259">
        <w:rPr>
          <w:rFonts w:ascii="Times New Roman" w:hAnsi="Times New Roman"/>
        </w:rPr>
        <w:t xml:space="preserve"> “inspires </w:t>
      </w:r>
      <w:r w:rsidRPr="003F7259">
        <w:rPr>
          <w:rFonts w:ascii="Times New Roman" w:hAnsi="Times New Roman"/>
          <w:i/>
          <w:iCs/>
        </w:rPr>
        <w:t xml:space="preserve">young </w:t>
      </w:r>
      <w:r w:rsidRPr="003F7259">
        <w:rPr>
          <w:rFonts w:ascii="Times New Roman" w:hAnsi="Times New Roman"/>
        </w:rPr>
        <w:t xml:space="preserve">women especially, and it inspires them not only to read but to write” (83). </w:t>
      </w:r>
      <w:r>
        <w:rPr>
          <w:rFonts w:ascii="Times New Roman" w:hAnsi="Times New Roman"/>
        </w:rPr>
        <w:t xml:space="preserve">Is that what it was? Well. It wasn’t a bite on the </w:t>
      </w:r>
      <w:commentRangeStart w:id="2"/>
      <w:r>
        <w:rPr>
          <w:rFonts w:ascii="Times New Roman" w:hAnsi="Times New Roman"/>
        </w:rPr>
        <w:t>cheek</w:t>
      </w:r>
      <w:commentRangeEnd w:id="2"/>
      <w:r>
        <w:rPr>
          <w:rStyle w:val="CommentReference"/>
          <w:rFonts w:cstheme="minorBidi"/>
          <w:kern w:val="2"/>
          <w14:ligatures w14:val="standardContextual"/>
        </w:rPr>
        <w:commentReference w:id="2"/>
      </w:r>
      <w:r>
        <w:rPr>
          <w:rFonts w:ascii="Times New Roman" w:hAnsi="Times New Roman"/>
        </w:rPr>
        <w:t>, but every relationship has a beginning.</w:t>
      </w:r>
    </w:p>
    <w:p w14:paraId="188210C8" w14:textId="77777777" w:rsidR="00752237" w:rsidRDefault="00752237" w:rsidP="00752237">
      <w:pPr>
        <w:pStyle w:val="NoSpacing"/>
        <w:spacing w:line="360" w:lineRule="auto"/>
        <w:ind w:firstLine="720"/>
        <w:contextualSpacing/>
        <w:rPr>
          <w:rFonts w:ascii="Times New Roman" w:hAnsi="Times New Roman"/>
          <w:i/>
          <w:iCs/>
        </w:rPr>
      </w:pPr>
      <w:r>
        <w:rPr>
          <w:rFonts w:ascii="Times New Roman" w:hAnsi="Times New Roman"/>
        </w:rPr>
        <w:t xml:space="preserve">My first year as an undergrad, I declared my major in Criminal Justice. I don’t know why. I was raised on horror movies and books, so perhaps that had something to do with it. Or maybe the idea of becoming a mortician and mostly dealing with dead people sounded achingly </w:t>
      </w:r>
      <w:r>
        <w:rPr>
          <w:rFonts w:ascii="Times New Roman" w:hAnsi="Times New Roman"/>
        </w:rPr>
        <w:lastRenderedPageBreak/>
        <w:t xml:space="preserve">peaceful and I figured “criminal justice” was close enough. I’ve picnicked at two graves in my life, </w:t>
      </w:r>
      <w:proofErr w:type="gramStart"/>
      <w:r>
        <w:rPr>
          <w:rFonts w:ascii="Times New Roman" w:hAnsi="Times New Roman"/>
        </w:rPr>
        <w:t>Sylvia’s</w:t>
      </w:r>
      <w:proofErr w:type="gramEnd"/>
      <w:r>
        <w:rPr>
          <w:rFonts w:ascii="Times New Roman" w:hAnsi="Times New Roman"/>
        </w:rPr>
        <w:t xml:space="preserve"> and Franz Kafka’s, and both were excellent company. And listeners. But I almost flunked out after my first semester and begged someone in admissions for a second chance. When granted, I switched to literature because that’s what it was always supposed to be. Sometimes destiny steps in and demands that you listen, change course, because you took your free will too far. I’ve always known I was a writer. I have poems that I wrote at six years old, but when I had to declare a major, this was during a time when getting a literature degree was a one-way ticket to being a teacher. And I was a terrible teacher (still am). Still, </w:t>
      </w:r>
      <w:r>
        <w:rPr>
          <w:rFonts w:ascii="Times New Roman" w:hAnsi="Times New Roman"/>
          <w:i/>
          <w:iCs/>
        </w:rPr>
        <w:t xml:space="preserve">I took a deep breath and listened to the old brag of my </w:t>
      </w:r>
      <w:commentRangeStart w:id="3"/>
      <w:r>
        <w:rPr>
          <w:rFonts w:ascii="Times New Roman" w:hAnsi="Times New Roman"/>
          <w:i/>
          <w:iCs/>
        </w:rPr>
        <w:t>heart</w:t>
      </w:r>
      <w:commentRangeEnd w:id="3"/>
      <w:r>
        <w:rPr>
          <w:rStyle w:val="CommentReference"/>
          <w:rFonts w:cstheme="minorBidi"/>
          <w:kern w:val="2"/>
          <w14:ligatures w14:val="standardContextual"/>
        </w:rPr>
        <w:commentReference w:id="3"/>
      </w:r>
      <w:r>
        <w:rPr>
          <w:rFonts w:ascii="Times New Roman" w:hAnsi="Times New Roman"/>
          <w:i/>
          <w:iCs/>
        </w:rPr>
        <w:t xml:space="preserve">. </w:t>
      </w:r>
    </w:p>
    <w:p w14:paraId="50CA759D"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Full disclosure: I did not actually study Sylvia’s work in a classroom as an undergraduate or during my first master’s degree. I was exposed to many other writers and poets during these years, and still fondly remember all the poems I had to memorize in one undergraduate workshop where the professor said poetry memorization is a life skill because “if you’re ever in solitary confinement, you need beautiful words besides your own in your head.” It’s true. I’ve never been in solitary confinement, but a New York subway with no connection is, I imagine, the same thing. I recommend “Lady Lazarus” for long subway and airplane rides. Or “Daddy” depending on your mood. During my undergraduate years and throughout my twenties, my relationship with Sylvia was a private one, taking place entirely in my head. I read everything she had ever written</w:t>
      </w:r>
      <w:r w:rsidRPr="003F7259">
        <w:rPr>
          <w:rFonts w:ascii="Times New Roman" w:hAnsi="Times New Roman"/>
        </w:rPr>
        <w:t xml:space="preserve">, </w:t>
      </w:r>
      <w:r>
        <w:rPr>
          <w:rFonts w:ascii="Times New Roman" w:hAnsi="Times New Roman"/>
        </w:rPr>
        <w:t xml:space="preserve">then read it again, </w:t>
      </w:r>
      <w:r w:rsidRPr="003F7259">
        <w:rPr>
          <w:rFonts w:ascii="Times New Roman" w:hAnsi="Times New Roman"/>
        </w:rPr>
        <w:t xml:space="preserve">but </w:t>
      </w:r>
      <w:r w:rsidRPr="003F7259">
        <w:rPr>
          <w:rFonts w:ascii="Times New Roman" w:hAnsi="Times New Roman"/>
          <w:i/>
          <w:iCs/>
        </w:rPr>
        <w:t xml:space="preserve">The Bell Jar </w:t>
      </w:r>
      <w:r>
        <w:rPr>
          <w:rFonts w:ascii="Times New Roman" w:hAnsi="Times New Roman"/>
        </w:rPr>
        <w:t xml:space="preserve">will always be </w:t>
      </w:r>
      <w:r w:rsidRPr="003F7259">
        <w:rPr>
          <w:rFonts w:ascii="Times New Roman" w:hAnsi="Times New Roman"/>
        </w:rPr>
        <w:t xml:space="preserve">my first and favourite dance with </w:t>
      </w:r>
      <w:r>
        <w:rPr>
          <w:rFonts w:ascii="Times New Roman" w:hAnsi="Times New Roman"/>
        </w:rPr>
        <w:t xml:space="preserve">her. </w:t>
      </w:r>
      <w:r w:rsidRPr="003F7259">
        <w:rPr>
          <w:rFonts w:ascii="Times New Roman" w:hAnsi="Times New Roman"/>
        </w:rPr>
        <w:t xml:space="preserve"> However, unlike the thousands of others who found themselves in this book, it was not Esther’s grappling with her love life</w:t>
      </w:r>
      <w:r>
        <w:rPr>
          <w:rFonts w:ascii="Times New Roman" w:hAnsi="Times New Roman"/>
        </w:rPr>
        <w:t xml:space="preserve"> (super juicy)</w:t>
      </w:r>
      <w:r w:rsidRPr="003F7259">
        <w:rPr>
          <w:rFonts w:ascii="Times New Roman" w:hAnsi="Times New Roman"/>
        </w:rPr>
        <w:t xml:space="preserve">, depression, or suicidal leanings that hammered so close to home for me. It was her obsession with food. </w:t>
      </w:r>
    </w:p>
    <w:p w14:paraId="020EE147" w14:textId="77777777" w:rsidR="00752237" w:rsidRDefault="00752237" w:rsidP="00752237">
      <w:pPr>
        <w:pStyle w:val="NoSpacing"/>
        <w:spacing w:line="360" w:lineRule="auto"/>
        <w:ind w:firstLine="720"/>
        <w:contextualSpacing/>
        <w:rPr>
          <w:rFonts w:ascii="Times New Roman" w:hAnsi="Times New Roman"/>
        </w:rPr>
      </w:pPr>
      <w:r w:rsidRPr="003F7259">
        <w:rPr>
          <w:rFonts w:ascii="Times New Roman" w:hAnsi="Times New Roman"/>
          <w:i/>
          <w:iCs/>
        </w:rPr>
        <w:t>The Bell Jar</w:t>
      </w:r>
      <w:r w:rsidRPr="003F7259">
        <w:rPr>
          <w:rFonts w:ascii="Times New Roman" w:hAnsi="Times New Roman"/>
        </w:rPr>
        <w:t xml:space="preserve"> and much of Plath’s poetry</w:t>
      </w:r>
      <w:r>
        <w:rPr>
          <w:rFonts w:ascii="Times New Roman" w:hAnsi="Times New Roman"/>
        </w:rPr>
        <w:t>, letters, and diary entries</w:t>
      </w:r>
      <w:r w:rsidRPr="003F7259">
        <w:rPr>
          <w:rFonts w:ascii="Times New Roman" w:hAnsi="Times New Roman"/>
        </w:rPr>
        <w:t xml:space="preserve"> </w:t>
      </w:r>
      <w:r>
        <w:rPr>
          <w:rFonts w:ascii="Times New Roman" w:hAnsi="Times New Roman"/>
        </w:rPr>
        <w:t>are</w:t>
      </w:r>
      <w:r w:rsidRPr="003F7259">
        <w:rPr>
          <w:rFonts w:ascii="Times New Roman" w:hAnsi="Times New Roman"/>
        </w:rPr>
        <w:t xml:space="preserve"> </w:t>
      </w:r>
      <w:r>
        <w:rPr>
          <w:rFonts w:ascii="Times New Roman" w:hAnsi="Times New Roman"/>
        </w:rPr>
        <w:t>stuffed</w:t>
      </w:r>
      <w:r w:rsidRPr="003F7259">
        <w:rPr>
          <w:rFonts w:ascii="Times New Roman" w:hAnsi="Times New Roman"/>
        </w:rPr>
        <w:t xml:space="preserve"> with such an intense preoccupation with food, hunger, and a teetering between gluttony and starvation</w:t>
      </w:r>
      <w:r>
        <w:rPr>
          <w:rFonts w:ascii="Times New Roman" w:hAnsi="Times New Roman"/>
        </w:rPr>
        <w:t xml:space="preserve"> </w:t>
      </w:r>
      <w:r w:rsidRPr="003F7259">
        <w:rPr>
          <w:rFonts w:ascii="Times New Roman" w:hAnsi="Times New Roman"/>
        </w:rPr>
        <w:t xml:space="preserve">that </w:t>
      </w:r>
      <w:r>
        <w:rPr>
          <w:rFonts w:ascii="Times New Roman" w:hAnsi="Times New Roman"/>
        </w:rPr>
        <w:t>it’s impossible to ignore—once you see it</w:t>
      </w:r>
      <w:r w:rsidRPr="003F7259">
        <w:rPr>
          <w:rFonts w:ascii="Times New Roman" w:hAnsi="Times New Roman"/>
        </w:rPr>
        <w:t xml:space="preserve">. </w:t>
      </w:r>
      <w:r>
        <w:rPr>
          <w:rFonts w:ascii="Times New Roman" w:hAnsi="Times New Roman"/>
        </w:rPr>
        <w:t>And I totally got her obsession. I spent hours as a pre-teen on the weekends locked in my room, reading Stephen King or Dean Koontz, and eating entire boxes of Hot &amp; Spicy Cheez-</w:t>
      </w:r>
      <w:proofErr w:type="spellStart"/>
      <w:r>
        <w:rPr>
          <w:rFonts w:ascii="Times New Roman" w:hAnsi="Times New Roman"/>
        </w:rPr>
        <w:t>Its</w:t>
      </w:r>
      <w:proofErr w:type="spellEnd"/>
      <w:r>
        <w:rPr>
          <w:rFonts w:ascii="Times New Roman" w:hAnsi="Times New Roman"/>
        </w:rPr>
        <w:t xml:space="preserve"> in my garage-sale waterbed. I would take breaks to sneak into the kitchen, avoiding my always-hovering mother, and swipe slices of bread slathered with Sandwich Spread and piles of American cheese. </w:t>
      </w:r>
    </w:p>
    <w:p w14:paraId="0FE52116"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lastRenderedPageBreak/>
        <w:t xml:space="preserve">Sylvia wasn’t much different at that age and I’m sure she would have approved, had she lived to experience Cheez-Its. In letters from summer camp to her mother, Aurelia Plath, she documented eating unbelievable amounts of food. At 13 years old, on July 5, 1946, she wrote: </w:t>
      </w:r>
    </w:p>
    <w:p w14:paraId="6432F6A0" w14:textId="77777777" w:rsidR="00752237" w:rsidRDefault="00752237" w:rsidP="00752237">
      <w:pPr>
        <w:pStyle w:val="NoSpacing"/>
        <w:spacing w:line="360" w:lineRule="auto"/>
        <w:ind w:firstLine="720"/>
        <w:contextualSpacing/>
        <w:rPr>
          <w:rFonts w:ascii="Times New Roman" w:hAnsi="Times New Roman"/>
        </w:rPr>
      </w:pPr>
    </w:p>
    <w:p w14:paraId="122C3A5C"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 xml:space="preserve">I </w:t>
      </w:r>
      <w:r>
        <w:rPr>
          <w:rFonts w:ascii="Times New Roman" w:hAnsi="Times New Roman"/>
          <w:u w:val="single"/>
        </w:rPr>
        <w:t>should</w:t>
      </w:r>
      <w:r>
        <w:rPr>
          <w:rFonts w:ascii="Times New Roman" w:hAnsi="Times New Roman"/>
        </w:rPr>
        <w:t xml:space="preserve"> be gaining weight! Just listen to what I had for lunch: </w:t>
      </w:r>
    </w:p>
    <w:p w14:paraId="45C793EB"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Two bowls of noodle soup</w:t>
      </w:r>
    </w:p>
    <w:p w14:paraId="14827691"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One slice of bread</w:t>
      </w:r>
    </w:p>
    <w:p w14:paraId="6C0B4422"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Two helpings of potatoes and cabbage</w:t>
      </w:r>
    </w:p>
    <w:p w14:paraId="0741B3AE"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Two helpings of salad (including lettuce, cheese, peas, eggs)</w:t>
      </w:r>
    </w:p>
    <w:p w14:paraId="7E96E044"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Three bowls of custard</w:t>
      </w:r>
    </w:p>
    <w:p w14:paraId="7D268A88"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One cup of milk—two of cocoa</w:t>
      </w:r>
    </w:p>
    <w:p w14:paraId="4A9D9118" w14:textId="77777777" w:rsidR="00752237" w:rsidRDefault="00752237" w:rsidP="00752237">
      <w:pPr>
        <w:pStyle w:val="NoSpacing"/>
        <w:spacing w:line="360" w:lineRule="auto"/>
        <w:ind w:left="720"/>
        <w:contextualSpacing/>
        <w:rPr>
          <w:rFonts w:ascii="Times New Roman" w:hAnsi="Times New Roman"/>
        </w:rPr>
      </w:pPr>
      <w:r>
        <w:rPr>
          <w:rFonts w:ascii="Times New Roman" w:hAnsi="Times New Roman"/>
        </w:rPr>
        <w:t>I’m eating so much, no matter what, or how horrible it is, that I can hardly walk after each meal. (</w:t>
      </w:r>
      <w:r w:rsidRPr="000F48A4">
        <w:rPr>
          <w:rFonts w:ascii="Times New Roman" w:hAnsi="Times New Roman"/>
          <w:highlight w:val="yellow"/>
        </w:rPr>
        <w:t>NEED CITATION—PHOTO FROM VISIT TO LIBRARY</w:t>
      </w:r>
      <w:r>
        <w:rPr>
          <w:rFonts w:ascii="Times New Roman" w:hAnsi="Times New Roman"/>
        </w:rPr>
        <w:t>)</w:t>
      </w:r>
    </w:p>
    <w:p w14:paraId="19D43225" w14:textId="77777777" w:rsidR="00752237" w:rsidRDefault="00752237" w:rsidP="00752237">
      <w:pPr>
        <w:pStyle w:val="NoSpacing"/>
        <w:spacing w:line="360" w:lineRule="auto"/>
        <w:ind w:left="720"/>
        <w:contextualSpacing/>
        <w:rPr>
          <w:rFonts w:ascii="Times New Roman" w:hAnsi="Times New Roman"/>
        </w:rPr>
      </w:pPr>
    </w:p>
    <w:p w14:paraId="7C94628B" w14:textId="77777777" w:rsidR="00752237" w:rsidRDefault="00752237" w:rsidP="00752237">
      <w:pPr>
        <w:pStyle w:val="NormalWeb"/>
        <w:jc w:val="center"/>
      </w:pPr>
      <w:r>
        <w:rPr>
          <w:noProof/>
        </w:rPr>
        <w:drawing>
          <wp:inline distT="0" distB="0" distL="0" distR="0" wp14:anchorId="31F1BC80" wp14:editId="21D94AD3">
            <wp:extent cx="2908300" cy="3877733"/>
            <wp:effectExtent l="0" t="0" r="6350" b="8890"/>
            <wp:docPr id="1231937108" name="Picture 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37108" name="Picture 1" descr="A piece of paper with writing on i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1750" cy="3882334"/>
                    </a:xfrm>
                    <a:prstGeom prst="rect">
                      <a:avLst/>
                    </a:prstGeom>
                    <a:noFill/>
                    <a:ln>
                      <a:noFill/>
                    </a:ln>
                  </pic:spPr>
                </pic:pic>
              </a:graphicData>
            </a:graphic>
          </wp:inline>
        </w:drawing>
      </w:r>
      <w:r>
        <w:br/>
      </w:r>
      <w:commentRangeStart w:id="4"/>
      <w:r w:rsidRPr="00974B31">
        <w:rPr>
          <w:highlight w:val="yellow"/>
        </w:rPr>
        <w:t>NEED CITATION</w:t>
      </w:r>
      <w:commentRangeEnd w:id="4"/>
      <w:r>
        <w:rPr>
          <w:rStyle w:val="CommentReference"/>
          <w:rFonts w:asciiTheme="minorHAnsi" w:eastAsiaTheme="minorHAnsi" w:hAnsiTheme="minorHAnsi" w:cstheme="minorBidi"/>
          <w:kern w:val="2"/>
          <w14:ligatures w14:val="standardContextual"/>
        </w:rPr>
        <w:commentReference w:id="4"/>
      </w:r>
    </w:p>
    <w:p w14:paraId="63957C09" w14:textId="77777777" w:rsidR="00752237" w:rsidRPr="00D07234" w:rsidRDefault="00752237" w:rsidP="00752237">
      <w:pPr>
        <w:pStyle w:val="NoSpacing"/>
        <w:spacing w:line="360" w:lineRule="auto"/>
        <w:ind w:left="720"/>
        <w:contextualSpacing/>
        <w:rPr>
          <w:rFonts w:ascii="Times New Roman" w:hAnsi="Times New Roman"/>
        </w:rPr>
      </w:pPr>
    </w:p>
    <w:p w14:paraId="78C443C0" w14:textId="77777777" w:rsidR="00752237" w:rsidRDefault="00752237" w:rsidP="00752237">
      <w:pPr>
        <w:pStyle w:val="NoSpacing"/>
        <w:spacing w:line="360" w:lineRule="auto"/>
        <w:ind w:firstLine="720"/>
        <w:contextualSpacing/>
        <w:rPr>
          <w:rFonts w:ascii="Times New Roman" w:hAnsi="Times New Roman"/>
        </w:rPr>
      </w:pPr>
    </w:p>
    <w:p w14:paraId="1C681ED4" w14:textId="77777777" w:rsidR="00752237" w:rsidRDefault="00752237" w:rsidP="00752237">
      <w:pPr>
        <w:pStyle w:val="NoSpacing"/>
        <w:spacing w:line="360" w:lineRule="auto"/>
        <w:contextualSpacing/>
        <w:rPr>
          <w:rFonts w:ascii="Times New Roman" w:hAnsi="Times New Roman"/>
        </w:rPr>
      </w:pPr>
      <w:r>
        <w:rPr>
          <w:rFonts w:ascii="Times New Roman" w:hAnsi="Times New Roman"/>
        </w:rPr>
        <w:t xml:space="preserve">This was not an unusual amount of food for her, at that age or any age. As for me at thirteen, I would have thought, </w:t>
      </w:r>
      <w:r w:rsidRPr="00B15941">
        <w:rPr>
          <w:rFonts w:ascii="Times New Roman" w:hAnsi="Times New Roman"/>
          <w:i/>
          <w:iCs/>
        </w:rPr>
        <w:t>Wasn’t Sylvia’s adoration of food … normal?</w:t>
      </w:r>
      <w:r>
        <w:rPr>
          <w:rFonts w:ascii="Times New Roman" w:hAnsi="Times New Roman"/>
          <w:i/>
          <w:iCs/>
        </w:rPr>
        <w:t xml:space="preserve"> Isn’t it normal to sometimes hurt after eating? </w:t>
      </w:r>
      <w:r>
        <w:rPr>
          <w:rFonts w:ascii="Times New Roman" w:hAnsi="Times New Roman"/>
        </w:rPr>
        <w:t xml:space="preserve">In fact, we don’t know how “normal” (common) binge-eating is because eating disorders, including binge-eating disorder (BED), bulimia nervosa (bulimia), and anorexia nervosa (anorexia), are notoriously under-diagnosed, mis-diagnosed, under-treated, and under-insured. Now, nobody can say whether that letter proves Sylvia was a binge-eater in the medical and diagnostic sense, but it’s undoubtedly an unusually large amount of food for a single meal. What I am certain of is that there’s a lot more of us than they realize—and by “they,” I mean doctors and the </w:t>
      </w:r>
      <w:proofErr w:type="gramStart"/>
      <w:r>
        <w:rPr>
          <w:rFonts w:ascii="Times New Roman" w:hAnsi="Times New Roman"/>
        </w:rPr>
        <w:t>general public</w:t>
      </w:r>
      <w:proofErr w:type="gramEnd"/>
      <w:r>
        <w:rPr>
          <w:rFonts w:ascii="Times New Roman" w:hAnsi="Times New Roman"/>
        </w:rPr>
        <w:t xml:space="preserve">. BED wasn’t even added to the Diagnostics and Statistic Manual of Mental Disorders (DSM) until 2013, so you can imagine how far we still </w:t>
      </w:r>
      <w:proofErr w:type="gramStart"/>
      <w:r>
        <w:rPr>
          <w:rFonts w:ascii="Times New Roman" w:hAnsi="Times New Roman"/>
        </w:rPr>
        <w:t>have to</w:t>
      </w:r>
      <w:proofErr w:type="gramEnd"/>
      <w:r>
        <w:rPr>
          <w:rFonts w:ascii="Times New Roman" w:hAnsi="Times New Roman"/>
        </w:rPr>
        <w:t xml:space="preserve"> go. </w:t>
      </w:r>
    </w:p>
    <w:p w14:paraId="61736B14"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Food isn’t what most people think of when they hear “</w:t>
      </w:r>
      <w:r>
        <w:rPr>
          <w:rFonts w:ascii="Times New Roman" w:hAnsi="Times New Roman"/>
          <w:i/>
          <w:iCs/>
        </w:rPr>
        <w:t xml:space="preserve">The Bell Jar.” </w:t>
      </w:r>
      <w:r>
        <w:rPr>
          <w:rFonts w:ascii="Times New Roman" w:hAnsi="Times New Roman"/>
        </w:rPr>
        <w:t xml:space="preserve">But it should be. It isn’t a memoir (yes, </w:t>
      </w:r>
      <w:commentRangeStart w:id="5"/>
      <w:r>
        <w:rPr>
          <w:rFonts w:ascii="Times New Roman" w:hAnsi="Times New Roman"/>
        </w:rPr>
        <w:t>she admitted it</w:t>
      </w:r>
      <w:commentRangeEnd w:id="5"/>
      <w:r>
        <w:rPr>
          <w:rStyle w:val="CommentReference"/>
          <w:rFonts w:cstheme="minorBidi"/>
          <w:kern w:val="2"/>
          <w14:ligatures w14:val="standardContextual"/>
        </w:rPr>
        <w:commentReference w:id="5"/>
      </w:r>
      <w:r>
        <w:rPr>
          <w:rFonts w:ascii="Times New Roman" w:hAnsi="Times New Roman"/>
        </w:rPr>
        <w:t xml:space="preserve">)-cum-novel about working in fashion, living in New York, dating, and what we now call a quarter-life crisis. It’s about hunger. That same hunger we all have. </w:t>
      </w:r>
      <w:r w:rsidRPr="003F7259">
        <w:rPr>
          <w:rFonts w:ascii="Times New Roman" w:hAnsi="Times New Roman"/>
        </w:rPr>
        <w:t>Examples of Esther’s engrossment with food abound, from the binge-eating caviar scene to a</w:t>
      </w:r>
      <w:r>
        <w:rPr>
          <w:rFonts w:ascii="Times New Roman" w:hAnsi="Times New Roman"/>
        </w:rPr>
        <w:t>n entire</w:t>
      </w:r>
      <w:r w:rsidRPr="003F7259">
        <w:rPr>
          <w:rFonts w:ascii="Times New Roman" w:hAnsi="Times New Roman"/>
        </w:rPr>
        <w:t xml:space="preserve"> paragraph </w:t>
      </w:r>
      <w:r>
        <w:rPr>
          <w:rFonts w:ascii="Times New Roman" w:hAnsi="Times New Roman"/>
        </w:rPr>
        <w:t xml:space="preserve">dedicated to </w:t>
      </w:r>
      <w:r w:rsidRPr="003F7259">
        <w:rPr>
          <w:rFonts w:ascii="Times New Roman" w:hAnsi="Times New Roman"/>
        </w:rPr>
        <w:t xml:space="preserve">describing the perfect browning of a hot dog before </w:t>
      </w:r>
      <w:r>
        <w:rPr>
          <w:rFonts w:ascii="Times New Roman" w:hAnsi="Times New Roman"/>
        </w:rPr>
        <w:t xml:space="preserve">she </w:t>
      </w:r>
      <w:r w:rsidRPr="003F7259">
        <w:rPr>
          <w:rFonts w:ascii="Times New Roman" w:hAnsi="Times New Roman"/>
        </w:rPr>
        <w:t>secretly buries it</w:t>
      </w:r>
      <w:r>
        <w:rPr>
          <w:rFonts w:ascii="Times New Roman" w:hAnsi="Times New Roman"/>
        </w:rPr>
        <w:t xml:space="preserve"> in the sand</w:t>
      </w:r>
      <w:r w:rsidRPr="003F7259">
        <w:rPr>
          <w:rFonts w:ascii="Times New Roman" w:hAnsi="Times New Roman"/>
        </w:rPr>
        <w:t xml:space="preserve"> (22, 47). </w:t>
      </w:r>
      <w:r>
        <w:rPr>
          <w:rFonts w:ascii="Times New Roman" w:hAnsi="Times New Roman"/>
        </w:rPr>
        <w:t xml:space="preserve">I’m going to let the obvious Freudian/sexual innuendo of an interred wiener </w:t>
      </w:r>
      <w:commentRangeStart w:id="6"/>
      <w:r>
        <w:rPr>
          <w:rFonts w:ascii="Times New Roman" w:hAnsi="Times New Roman"/>
        </w:rPr>
        <w:t>slide</w:t>
      </w:r>
      <w:commentRangeEnd w:id="6"/>
      <w:r>
        <w:rPr>
          <w:rStyle w:val="CommentReference"/>
          <w:rFonts w:cstheme="minorBidi"/>
          <w:kern w:val="2"/>
          <w14:ligatures w14:val="standardContextual"/>
        </w:rPr>
        <w:commentReference w:id="6"/>
      </w:r>
      <w:r>
        <w:rPr>
          <w:rFonts w:ascii="Times New Roman" w:hAnsi="Times New Roman"/>
        </w:rPr>
        <w:t xml:space="preserve"> for now—we’ll get to the complicated relationship between food and sex later. But what about the whole fig tree scene? Even if you haven’t visited </w:t>
      </w:r>
      <w:r>
        <w:rPr>
          <w:rFonts w:ascii="Times New Roman" w:hAnsi="Times New Roman"/>
          <w:i/>
          <w:iCs/>
        </w:rPr>
        <w:t xml:space="preserve">The Bell Jar </w:t>
      </w:r>
      <w:r>
        <w:rPr>
          <w:rFonts w:ascii="Times New Roman" w:hAnsi="Times New Roman"/>
        </w:rPr>
        <w:t>in decades, you probably vaguely remember it. Esther sits, in a dream, beneath a fig tree with each fruit representing a possible future. She can’t choose so, you know, the figs die, and she starves to death. But what you might have forgotten is that Esther also does a little dream analysis in chapter seven:</w:t>
      </w:r>
    </w:p>
    <w:p w14:paraId="23DFC3B8" w14:textId="77777777" w:rsidR="00752237" w:rsidRPr="003F7259" w:rsidRDefault="00752237" w:rsidP="00752237">
      <w:pPr>
        <w:pStyle w:val="NoSpacing"/>
        <w:spacing w:line="360" w:lineRule="auto"/>
        <w:contextualSpacing/>
        <w:rPr>
          <w:rFonts w:ascii="Times New Roman" w:hAnsi="Times New Roman"/>
        </w:rPr>
      </w:pPr>
    </w:p>
    <w:p w14:paraId="5A64416F" w14:textId="77777777" w:rsidR="00752237" w:rsidRPr="003F7259" w:rsidRDefault="00752237" w:rsidP="00752237">
      <w:pPr>
        <w:pStyle w:val="NoSpacing"/>
        <w:spacing w:line="360" w:lineRule="auto"/>
        <w:ind w:left="720"/>
        <w:contextualSpacing/>
        <w:rPr>
          <w:rFonts w:ascii="Times New Roman" w:hAnsi="Times New Roman"/>
        </w:rPr>
      </w:pPr>
      <w:r w:rsidRPr="003F7259">
        <w:rPr>
          <w:rFonts w:ascii="Times New Roman" w:hAnsi="Times New Roman"/>
        </w:rPr>
        <w:t>I don’t know what I ate, but I felt immensely better after the first mouthful. It occurred to me that my vision of the fig tree and all the fat figs that withered and fell to the earth might well have arisen from the profound void of an empty stomach. (63)</w:t>
      </w:r>
    </w:p>
    <w:p w14:paraId="532F2620" w14:textId="77777777" w:rsidR="00752237" w:rsidRPr="003F7259" w:rsidRDefault="00752237" w:rsidP="00752237">
      <w:pPr>
        <w:pStyle w:val="NoSpacing"/>
        <w:spacing w:line="360" w:lineRule="auto"/>
        <w:contextualSpacing/>
        <w:rPr>
          <w:rFonts w:ascii="Times New Roman" w:hAnsi="Times New Roman"/>
        </w:rPr>
      </w:pPr>
    </w:p>
    <w:p w14:paraId="52D67B8E" w14:textId="77777777" w:rsidR="00752237" w:rsidRDefault="00752237" w:rsidP="00752237">
      <w:pPr>
        <w:pStyle w:val="NoSpacing"/>
        <w:spacing w:line="360" w:lineRule="auto"/>
        <w:contextualSpacing/>
        <w:rPr>
          <w:rFonts w:ascii="Times New Roman" w:hAnsi="Times New Roman"/>
        </w:rPr>
      </w:pPr>
      <w:r>
        <w:rPr>
          <w:rFonts w:ascii="Times New Roman" w:hAnsi="Times New Roman"/>
        </w:rPr>
        <w:t xml:space="preserve">It’s not just food that’s important to Esther, to Sylvia, to me, and to everyone. Hunger is its counterpart. One cannot exist without the other. </w:t>
      </w:r>
      <w:r w:rsidRPr="003F7259">
        <w:rPr>
          <w:rFonts w:ascii="Times New Roman" w:hAnsi="Times New Roman"/>
        </w:rPr>
        <w:t>Gitanjali Shahani neatly summari</w:t>
      </w:r>
      <w:r>
        <w:rPr>
          <w:rFonts w:ascii="Times New Roman" w:hAnsi="Times New Roman"/>
        </w:rPr>
        <w:t>z</w:t>
      </w:r>
      <w:r w:rsidRPr="003F7259">
        <w:rPr>
          <w:rFonts w:ascii="Times New Roman" w:hAnsi="Times New Roman"/>
        </w:rPr>
        <w:t xml:space="preserve">es the </w:t>
      </w:r>
      <w:r w:rsidRPr="003F7259">
        <w:rPr>
          <w:rFonts w:ascii="Times New Roman" w:hAnsi="Times New Roman"/>
        </w:rPr>
        <w:lastRenderedPageBreak/>
        <w:t>importance of food for some literary characters</w:t>
      </w:r>
      <w:r>
        <w:rPr>
          <w:rFonts w:ascii="Times New Roman" w:hAnsi="Times New Roman"/>
        </w:rPr>
        <w:t xml:space="preserve"> which can include, I assert, Esther</w:t>
      </w:r>
      <w:r w:rsidRPr="003F7259">
        <w:rPr>
          <w:rFonts w:ascii="Times New Roman" w:hAnsi="Times New Roman"/>
        </w:rPr>
        <w:t xml:space="preserve">: “Some of their most memorable words and scenes are gastronomic” (3). </w:t>
      </w:r>
      <w:r>
        <w:rPr>
          <w:rFonts w:ascii="Times New Roman" w:hAnsi="Times New Roman"/>
        </w:rPr>
        <w:t xml:space="preserve">True, but this doesn’t just apply to literary characters. It applies to all of us. Think back to your most memorable moments. How often was food involved or, even more importantly, at the center? </w:t>
      </w:r>
    </w:p>
    <w:p w14:paraId="094EDFF0" w14:textId="77777777" w:rsidR="00752237" w:rsidRDefault="00752237" w:rsidP="00752237">
      <w:pPr>
        <w:pStyle w:val="NoSpacing"/>
        <w:spacing w:line="360" w:lineRule="auto"/>
        <w:ind w:firstLine="720"/>
        <w:contextualSpacing/>
        <w:rPr>
          <w:rFonts w:ascii="Times New Roman" w:hAnsi="Times New Roman"/>
        </w:rPr>
      </w:pPr>
      <w:r>
        <w:rPr>
          <w:rFonts w:ascii="Times New Roman" w:hAnsi="Times New Roman"/>
        </w:rPr>
        <w:t xml:space="preserve">Making and devouring birthday cupcakes, licking the spoon. Your wedding </w:t>
      </w:r>
      <w:proofErr w:type="gramStart"/>
      <w:r>
        <w:rPr>
          <w:rFonts w:ascii="Times New Roman" w:hAnsi="Times New Roman"/>
        </w:rPr>
        <w:t>cake</w:t>
      </w:r>
      <w:proofErr w:type="gramEnd"/>
      <w:r>
        <w:rPr>
          <w:rFonts w:ascii="Times New Roman" w:hAnsi="Times New Roman"/>
        </w:rPr>
        <w:t xml:space="preserve">. How many flavors did you try, how much did you spend? It was a critically important decision. The first time you had a drink. The first time you had a drink you liked. When you go camping and </w:t>
      </w:r>
      <w:r>
        <w:rPr>
          <w:rFonts w:ascii="Times New Roman" w:hAnsi="Times New Roman"/>
          <w:i/>
          <w:iCs/>
        </w:rPr>
        <w:t xml:space="preserve">all </w:t>
      </w:r>
      <w:r>
        <w:rPr>
          <w:rFonts w:ascii="Times New Roman" w:hAnsi="Times New Roman"/>
        </w:rPr>
        <w:t>food just tastes so much better—s’mores, half-burnt hot dogs, potatoes suffocated in butter and cocooned in foil over the flame. When you tried whipped cream in bed and kind of thought you’d rather go get ice cream to go with it than finish what you’re doing (no, we’re still not to Freud and sex yet). The way your mom or dad or grandma or grandpa made a certain dish. They’re gone now and you can’t ask them and even if you have the recipe, it’s not the same. The way a sandwich just tastes better when someone who loves you makes it. The first time your baby devoured something besides milk or formula. You know what it was, even if your baby has long been grown. Your favorite dish from that place you visited a long time ago and you want to go back and have it again, but you also don’t want to because what if it’s not as good and then the whole memory is ruined. Food matters. So, let’s dig into some food matters.</w:t>
      </w:r>
    </w:p>
    <w:p w14:paraId="4E307322" w14:textId="77777777" w:rsidR="00752237" w:rsidRDefault="00752237"/>
    <w:sectPr w:rsidR="007522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essica Mehta" w:date="2024-01-30T18:41:00Z" w:initials="JM">
    <w:p w14:paraId="28184FB4" w14:textId="77777777" w:rsidR="00752237" w:rsidRDefault="00752237" w:rsidP="00752237">
      <w:pPr>
        <w:pStyle w:val="CommentText"/>
      </w:pPr>
      <w:r>
        <w:rPr>
          <w:rStyle w:val="CommentReference"/>
        </w:rPr>
        <w:annotationRef/>
      </w:r>
      <w:r>
        <w:t>This is an unpublished short story held at the Lilly Library (sadly, I did not take a photo of it). Not sure if that needs to be mentioned.</w:t>
      </w:r>
    </w:p>
  </w:comment>
  <w:comment w:id="1" w:author="Jessica Mehta" w:date="2024-01-30T14:51:00Z" w:initials="JM">
    <w:p w14:paraId="47B67811" w14:textId="77777777" w:rsidR="00752237" w:rsidRDefault="00752237" w:rsidP="00752237">
      <w:pPr>
        <w:pStyle w:val="CommentText"/>
      </w:pPr>
      <w:r>
        <w:rPr>
          <w:rStyle w:val="CommentReference"/>
        </w:rPr>
        <w:annotationRef/>
      </w:r>
      <w:r>
        <w:t>Need to find citation (</w:t>
      </w:r>
      <w:r>
        <w:rPr>
          <w:color w:val="171717"/>
        </w:rPr>
        <w:t>1954 letter from Plath to her mother</w:t>
      </w:r>
      <w:r>
        <w:t>) in which Plath discusses dying her hair brown.</w:t>
      </w:r>
    </w:p>
  </w:comment>
  <w:comment w:id="2" w:author="Jessica Mehta" w:date="2024-01-30T14:51:00Z" w:initials="JM">
    <w:p w14:paraId="3E290F8C" w14:textId="77777777" w:rsidR="00752237" w:rsidRDefault="00752237" w:rsidP="00752237">
      <w:pPr>
        <w:pStyle w:val="CommentText"/>
      </w:pPr>
      <w:r>
        <w:rPr>
          <w:rStyle w:val="CommentReference"/>
        </w:rPr>
        <w:annotationRef/>
      </w:r>
      <w:r>
        <w:t>Heidi, I’m not sure how much semi-esoteric information I might include. This is discussed later (Plath met Hughes at a party where she bit him on the cheek) and I think for Plath lovers they would enjoy this and for those who don’t know, I don’t think it takes them out of the narrative too much.</w:t>
      </w:r>
    </w:p>
  </w:comment>
  <w:comment w:id="3" w:author="Jessica Mehta" w:date="2024-01-30T14:55:00Z" w:initials="JM">
    <w:p w14:paraId="484652DD" w14:textId="77777777" w:rsidR="00752237" w:rsidRDefault="00752237" w:rsidP="00752237">
      <w:pPr>
        <w:pStyle w:val="CommentText"/>
      </w:pPr>
      <w:r>
        <w:rPr>
          <w:rStyle w:val="CommentReference"/>
        </w:rPr>
        <w:annotationRef/>
      </w:r>
      <w:r>
        <w:t>Such a famous line from Bell Jar I don’t think it needs a citation—your call ☺️</w:t>
      </w:r>
    </w:p>
  </w:comment>
  <w:comment w:id="4" w:author="Jessica Mehta" w:date="2024-01-30T18:59:00Z" w:initials="JM">
    <w:p w14:paraId="4CE5BC6E" w14:textId="77777777" w:rsidR="00752237" w:rsidRDefault="00752237" w:rsidP="00752237">
      <w:pPr>
        <w:pStyle w:val="CommentText"/>
      </w:pPr>
      <w:r>
        <w:rPr>
          <w:rStyle w:val="CommentReference"/>
        </w:rPr>
        <w:annotationRef/>
      </w:r>
      <w:r>
        <w:t xml:space="preserve">I was granted photography permissions at the Lilly Library (UI, Bloomington). However, these permissions were specifically to be used in an open-access dissertation. I’m putting this here as an example, but I would want someone who knows what they’re doing in publishing to confirm if such photos can be used. As an aside, photo permissions are kind of rare from that Library. </w:t>
      </w:r>
    </w:p>
  </w:comment>
  <w:comment w:id="5" w:author="Jessica Mehta" w:date="2024-01-30T19:16:00Z" w:initials="JM">
    <w:p w14:paraId="247AA121" w14:textId="77777777" w:rsidR="00752237" w:rsidRDefault="00752237" w:rsidP="00752237">
      <w:pPr>
        <w:pStyle w:val="CommentText"/>
      </w:pPr>
      <w:r>
        <w:rPr>
          <w:rStyle w:val="CommentReference"/>
        </w:rPr>
        <w:annotationRef/>
      </w:r>
      <w:r>
        <w:t>Need to cite to whatever future page this is on—will remember when it comes.</w:t>
      </w:r>
    </w:p>
  </w:comment>
  <w:comment w:id="6" w:author="Jessica Mehta" w:date="2024-01-30T15:02:00Z" w:initials="JM">
    <w:p w14:paraId="0F842850" w14:textId="77777777" w:rsidR="00752237" w:rsidRDefault="00752237" w:rsidP="00752237">
      <w:pPr>
        <w:pStyle w:val="CommentText"/>
      </w:pPr>
      <w:r>
        <w:rPr>
          <w:rStyle w:val="CommentReference"/>
        </w:rPr>
        <w:annotationRef/>
      </w:r>
      <w:r>
        <w:t>I think I’m funny with my word choices. But you can change this lol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184FB4" w15:done="0"/>
  <w15:commentEx w15:paraId="47B67811" w15:done="0"/>
  <w15:commentEx w15:paraId="3E290F8C" w15:done="0"/>
  <w15:commentEx w15:paraId="484652DD" w15:done="0"/>
  <w15:commentEx w15:paraId="4CE5BC6E" w15:done="0"/>
  <w15:commentEx w15:paraId="247AA121" w15:done="0"/>
  <w15:commentEx w15:paraId="0F8428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45F721" w16cex:dateUtc="2024-01-30T23:41:00Z"/>
  <w16cex:commentExtensible w16cex:durableId="2D379286" w16cex:dateUtc="2024-01-30T19:51:00Z"/>
  <w16cex:commentExtensible w16cex:durableId="39BC94F6" w16cex:dateUtc="2024-01-30T19:51:00Z"/>
  <w16cex:commentExtensible w16cex:durableId="724E6D10" w16cex:dateUtc="2024-01-30T19:55:00Z"/>
  <w16cex:commentExtensible w16cex:durableId="6145DAED" w16cex:dateUtc="2024-01-30T23:59:00Z"/>
  <w16cex:commentExtensible w16cex:durableId="63792D0B" w16cex:dateUtc="2024-01-31T00:16:00Z"/>
  <w16cex:commentExtensible w16cex:durableId="111AC3B2" w16cex:dateUtc="2024-01-30T2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184FB4" w16cid:durableId="6045F721"/>
  <w16cid:commentId w16cid:paraId="47B67811" w16cid:durableId="2D379286"/>
  <w16cid:commentId w16cid:paraId="3E290F8C" w16cid:durableId="39BC94F6"/>
  <w16cid:commentId w16cid:paraId="484652DD" w16cid:durableId="724E6D10"/>
  <w16cid:commentId w16cid:paraId="4CE5BC6E" w16cid:durableId="6145DAED"/>
  <w16cid:commentId w16cid:paraId="247AA121" w16cid:durableId="63792D0B"/>
  <w16cid:commentId w16cid:paraId="0F842850" w16cid:durableId="111AC3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Mehta">
    <w15:presenceInfo w15:providerId="Windows Live" w15:userId="97100d69854802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237"/>
    <w:rsid w:val="00752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7388B"/>
  <w15:chartTrackingRefBased/>
  <w15:docId w15:val="{4A7C65E5-4186-4FCB-8AF2-3B3139CC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237"/>
    <w:rPr>
      <w:rFonts w:eastAsiaTheme="majorEastAsia" w:cstheme="majorBidi"/>
      <w:color w:val="272727" w:themeColor="text1" w:themeTint="D8"/>
    </w:rPr>
  </w:style>
  <w:style w:type="paragraph" w:styleId="Title">
    <w:name w:val="Title"/>
    <w:basedOn w:val="Normal"/>
    <w:next w:val="Normal"/>
    <w:link w:val="TitleChar"/>
    <w:uiPriority w:val="10"/>
    <w:qFormat/>
    <w:rsid w:val="00752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237"/>
    <w:pPr>
      <w:spacing w:before="160"/>
      <w:jc w:val="center"/>
    </w:pPr>
    <w:rPr>
      <w:i/>
      <w:iCs/>
      <w:color w:val="404040" w:themeColor="text1" w:themeTint="BF"/>
    </w:rPr>
  </w:style>
  <w:style w:type="character" w:customStyle="1" w:styleId="QuoteChar">
    <w:name w:val="Quote Char"/>
    <w:basedOn w:val="DefaultParagraphFont"/>
    <w:link w:val="Quote"/>
    <w:uiPriority w:val="29"/>
    <w:rsid w:val="00752237"/>
    <w:rPr>
      <w:i/>
      <w:iCs/>
      <w:color w:val="404040" w:themeColor="text1" w:themeTint="BF"/>
    </w:rPr>
  </w:style>
  <w:style w:type="paragraph" w:styleId="ListParagraph">
    <w:name w:val="List Paragraph"/>
    <w:basedOn w:val="Normal"/>
    <w:uiPriority w:val="34"/>
    <w:qFormat/>
    <w:rsid w:val="00752237"/>
    <w:pPr>
      <w:ind w:left="720"/>
      <w:contextualSpacing/>
    </w:pPr>
  </w:style>
  <w:style w:type="character" w:styleId="IntenseEmphasis">
    <w:name w:val="Intense Emphasis"/>
    <w:basedOn w:val="DefaultParagraphFont"/>
    <w:uiPriority w:val="21"/>
    <w:qFormat/>
    <w:rsid w:val="00752237"/>
    <w:rPr>
      <w:i/>
      <w:iCs/>
      <w:color w:val="0F4761" w:themeColor="accent1" w:themeShade="BF"/>
    </w:rPr>
  </w:style>
  <w:style w:type="paragraph" w:styleId="IntenseQuote">
    <w:name w:val="Intense Quote"/>
    <w:basedOn w:val="Normal"/>
    <w:next w:val="Normal"/>
    <w:link w:val="IntenseQuoteChar"/>
    <w:uiPriority w:val="30"/>
    <w:qFormat/>
    <w:rsid w:val="00752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237"/>
    <w:rPr>
      <w:i/>
      <w:iCs/>
      <w:color w:val="0F4761" w:themeColor="accent1" w:themeShade="BF"/>
    </w:rPr>
  </w:style>
  <w:style w:type="character" w:styleId="IntenseReference">
    <w:name w:val="Intense Reference"/>
    <w:basedOn w:val="DefaultParagraphFont"/>
    <w:uiPriority w:val="32"/>
    <w:qFormat/>
    <w:rsid w:val="00752237"/>
    <w:rPr>
      <w:b/>
      <w:bCs/>
      <w:smallCaps/>
      <w:color w:val="0F4761" w:themeColor="accent1" w:themeShade="BF"/>
      <w:spacing w:val="5"/>
    </w:rPr>
  </w:style>
  <w:style w:type="paragraph" w:styleId="NormalWeb">
    <w:name w:val="Normal (Web)"/>
    <w:basedOn w:val="Normal"/>
    <w:uiPriority w:val="99"/>
    <w:unhideWhenUsed/>
    <w:rsid w:val="0075223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link w:val="NoSpacingChar"/>
    <w:uiPriority w:val="1"/>
    <w:qFormat/>
    <w:rsid w:val="00752237"/>
    <w:pPr>
      <w:spacing w:after="0" w:line="240" w:lineRule="auto"/>
    </w:pPr>
    <w:rPr>
      <w:rFonts w:cs="Times New Roman"/>
      <w:kern w:val="0"/>
      <w14:ligatures w14:val="none"/>
    </w:rPr>
  </w:style>
  <w:style w:type="character" w:customStyle="1" w:styleId="NoSpacingChar">
    <w:name w:val="No Spacing Char"/>
    <w:basedOn w:val="DefaultParagraphFont"/>
    <w:link w:val="NoSpacing"/>
    <w:uiPriority w:val="1"/>
    <w:rsid w:val="00752237"/>
    <w:rPr>
      <w:rFonts w:cs="Times New Roman"/>
      <w:kern w:val="0"/>
      <w14:ligatures w14:val="none"/>
    </w:rPr>
  </w:style>
  <w:style w:type="character" w:styleId="CommentReference">
    <w:name w:val="annotation reference"/>
    <w:basedOn w:val="DefaultParagraphFont"/>
    <w:uiPriority w:val="99"/>
    <w:semiHidden/>
    <w:unhideWhenUsed/>
    <w:rsid w:val="00752237"/>
    <w:rPr>
      <w:sz w:val="16"/>
      <w:szCs w:val="16"/>
    </w:rPr>
  </w:style>
  <w:style w:type="paragraph" w:styleId="CommentText">
    <w:name w:val="annotation text"/>
    <w:basedOn w:val="Normal"/>
    <w:link w:val="CommentTextChar"/>
    <w:uiPriority w:val="99"/>
    <w:unhideWhenUsed/>
    <w:rsid w:val="00752237"/>
    <w:pPr>
      <w:spacing w:line="240" w:lineRule="auto"/>
    </w:pPr>
    <w:rPr>
      <w:sz w:val="20"/>
      <w:szCs w:val="20"/>
    </w:rPr>
  </w:style>
  <w:style w:type="character" w:customStyle="1" w:styleId="CommentTextChar">
    <w:name w:val="Comment Text Char"/>
    <w:basedOn w:val="DefaultParagraphFont"/>
    <w:link w:val="CommentText"/>
    <w:uiPriority w:val="99"/>
    <w:rsid w:val="007522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1470</Words>
  <Characters>8385</Characters>
  <Application>Microsoft Office Word</Application>
  <DocSecurity>0</DocSecurity>
  <Lines>69</Lines>
  <Paragraphs>19</Paragraphs>
  <ScaleCrop>false</ScaleCrop>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Mehta</dc:creator>
  <cp:keywords/>
  <dc:description/>
  <cp:lastModifiedBy>Jessica Mehta</cp:lastModifiedBy>
  <cp:revision>1</cp:revision>
  <dcterms:created xsi:type="dcterms:W3CDTF">2024-01-31T12:16:00Z</dcterms:created>
  <dcterms:modified xsi:type="dcterms:W3CDTF">2024-01-31T12:16:00Z</dcterms:modified>
</cp:coreProperties>
</file>